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4AA2" w14:textId="77777777" w:rsidR="00B424EA" w:rsidRDefault="009671BA">
      <w:pPr>
        <w:keepNext/>
        <w:snapToGrid w:val="0"/>
      </w:pPr>
      <w:r>
        <w:rPr>
          <w:color w:val="626262"/>
          <w:sz w:val="17"/>
        </w:rPr>
        <w:t>QUALITY MANAGEMENT SYSTEMS  |  CLIENT TRANSITION SUPPORT</w:t>
      </w:r>
    </w:p>
    <w:tbl>
      <w:tblPr>
        <w:tblW w:w="15250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424EA" w14:paraId="15D722C1" w14:textId="77777777">
        <w:trPr>
          <w:cantSplit/>
          <w:jc w:val="center"/>
        </w:trPr>
        <w:tc>
          <w:tcPr>
            <w:tcW w:w="15250" w:type="dxa"/>
            <w:shd w:val="clear" w:color="auto" w:fill="E5DFEC"/>
            <w:tcMar>
              <w:top w:w="180" w:type="dxa"/>
              <w:left w:w="220" w:type="dxa"/>
              <w:bottom w:w="190" w:type="dxa"/>
              <w:right w:w="220" w:type="dxa"/>
            </w:tcMar>
          </w:tcPr>
          <w:p w14:paraId="072AD9EF" w14:textId="395A6FC3" w:rsidR="00B424EA" w:rsidRDefault="009671BA">
            <w:pPr>
              <w:spacing w:after="140" w:line="247" w:lineRule="auto"/>
            </w:pPr>
            <w:r>
              <w:rPr>
                <w:b/>
                <w:color w:val="92278F"/>
                <w:sz w:val="58"/>
              </w:rPr>
              <w:t>ISO 9001:</w:t>
            </w:r>
            <w:r w:rsidR="0037354A">
              <w:rPr>
                <w:b/>
                <w:color w:val="92278F"/>
                <w:sz w:val="58"/>
              </w:rPr>
              <w:t xml:space="preserve"> </w:t>
            </w:r>
            <w:r>
              <w:rPr>
                <w:b/>
                <w:color w:val="92278F"/>
                <w:sz w:val="58"/>
              </w:rPr>
              <w:t>2026</w:t>
            </w:r>
          </w:p>
          <w:p w14:paraId="59045253" w14:textId="34812E1F" w:rsidR="00B424EA" w:rsidRDefault="0037354A" w:rsidP="007D15A3">
            <w:r>
              <w:rPr>
                <w:b/>
                <w:color w:val="92278F"/>
                <w:sz w:val="48"/>
              </w:rPr>
              <w:t>High level</w:t>
            </w:r>
            <w:r w:rsidR="009671BA">
              <w:rPr>
                <w:b/>
                <w:color w:val="92278F"/>
                <w:sz w:val="48"/>
              </w:rPr>
              <w:t xml:space="preserve"> Gap Analysis</w:t>
            </w:r>
            <w:r w:rsidR="007D15A3">
              <w:t xml:space="preserve"> </w:t>
            </w:r>
          </w:p>
        </w:tc>
      </w:tr>
    </w:tbl>
    <w:p w14:paraId="795D0F77" w14:textId="77777777" w:rsidR="00B424EA" w:rsidRDefault="009671BA">
      <w:pPr>
        <w:snapToGrid w:val="0"/>
        <w:spacing w:before="180" w:after="160"/>
      </w:pPr>
      <w:r>
        <w:rPr>
          <w:sz w:val="22"/>
        </w:rPr>
        <w:t>Prepared by 3core² Certification Ltd</w:t>
      </w:r>
    </w:p>
    <w:p w14:paraId="022741C5" w14:textId="174E9FD5" w:rsidR="00B424EA" w:rsidRDefault="009671BA">
      <w:pPr>
        <w:snapToGrid w:val="0"/>
        <w:spacing w:after="200"/>
        <w:rPr>
          <w:sz w:val="22"/>
        </w:rPr>
      </w:pPr>
      <w:r>
        <w:rPr>
          <w:sz w:val="22"/>
        </w:rPr>
        <w:t xml:space="preserve">A </w:t>
      </w:r>
      <w:r w:rsidR="0037354A">
        <w:rPr>
          <w:sz w:val="22"/>
        </w:rPr>
        <w:t>high-level gap analysis</w:t>
      </w:r>
      <w:r>
        <w:rPr>
          <w:sz w:val="22"/>
        </w:rPr>
        <w:t xml:space="preserve"> to help certified organisations review the changes from ISO 9001:2015, including Amendment 1:2024, to ISO 9001:2026 and plan any necessary updates to their quality management system (QMS).</w:t>
      </w:r>
    </w:p>
    <w:p w14:paraId="48F10865" w14:textId="742A0204" w:rsidR="0037354A" w:rsidRDefault="0037354A">
      <w:pPr>
        <w:snapToGrid w:val="0"/>
        <w:spacing w:after="200"/>
        <w:rPr>
          <w:sz w:val="22"/>
        </w:rPr>
      </w:pPr>
      <w:r>
        <w:rPr>
          <w:sz w:val="22"/>
        </w:rPr>
        <w:t xml:space="preserve">The </w:t>
      </w:r>
      <w:r w:rsidR="0070761E">
        <w:rPr>
          <w:sz w:val="22"/>
        </w:rPr>
        <w:t xml:space="preserve">identified </w:t>
      </w:r>
      <w:r>
        <w:rPr>
          <w:sz w:val="22"/>
        </w:rPr>
        <w:t xml:space="preserve">changes between the standards have been categorised based on the </w:t>
      </w:r>
      <w:r w:rsidR="0070761E">
        <w:rPr>
          <w:sz w:val="22"/>
        </w:rPr>
        <w:t>extent of change of requirements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828"/>
      </w:tblGrid>
      <w:tr w:rsidR="0070761E" w14:paraId="74EE44FA" w14:textId="77777777" w:rsidTr="0070761E">
        <w:tc>
          <w:tcPr>
            <w:tcW w:w="1134" w:type="dxa"/>
            <w:shd w:val="clear" w:color="auto" w:fill="FDE9D9"/>
          </w:tcPr>
          <w:p w14:paraId="609F5640" w14:textId="68513FD2" w:rsidR="0070761E" w:rsidRDefault="0070761E">
            <w:pPr>
              <w:snapToGrid w:val="0"/>
              <w:spacing w:after="200"/>
            </w:pPr>
            <w:r>
              <w:t>High</w:t>
            </w:r>
          </w:p>
        </w:tc>
        <w:tc>
          <w:tcPr>
            <w:tcW w:w="3828" w:type="dxa"/>
          </w:tcPr>
          <w:p w14:paraId="5BBCCC16" w14:textId="0A9C40ED" w:rsidR="0070761E" w:rsidRDefault="0070761E">
            <w:pPr>
              <w:snapToGrid w:val="0"/>
              <w:spacing w:after="200"/>
            </w:pPr>
            <w:r>
              <w:t>Significant changes identified</w:t>
            </w:r>
          </w:p>
        </w:tc>
      </w:tr>
      <w:tr w:rsidR="0070761E" w14:paraId="0B57155B" w14:textId="77777777" w:rsidTr="0070761E">
        <w:tc>
          <w:tcPr>
            <w:tcW w:w="1134" w:type="dxa"/>
            <w:shd w:val="clear" w:color="auto" w:fill="FFF2CC"/>
          </w:tcPr>
          <w:p w14:paraId="73D9149E" w14:textId="1E3F843A" w:rsidR="0070761E" w:rsidRDefault="0070761E">
            <w:pPr>
              <w:snapToGrid w:val="0"/>
              <w:spacing w:after="200"/>
            </w:pPr>
            <w:r>
              <w:t>Medium</w:t>
            </w:r>
          </w:p>
        </w:tc>
        <w:tc>
          <w:tcPr>
            <w:tcW w:w="3828" w:type="dxa"/>
          </w:tcPr>
          <w:p w14:paraId="69F8DD85" w14:textId="09F55A59" w:rsidR="0070761E" w:rsidRDefault="0070761E">
            <w:pPr>
              <w:snapToGrid w:val="0"/>
              <w:spacing w:after="200"/>
            </w:pPr>
            <w:r>
              <w:t>Minor changes identified</w:t>
            </w:r>
          </w:p>
        </w:tc>
      </w:tr>
      <w:tr w:rsidR="0070761E" w14:paraId="50F15CBC" w14:textId="77777777" w:rsidTr="0070761E">
        <w:tc>
          <w:tcPr>
            <w:tcW w:w="1134" w:type="dxa"/>
            <w:shd w:val="clear" w:color="auto" w:fill="E2F0D9"/>
          </w:tcPr>
          <w:p w14:paraId="26DAF5F6" w14:textId="5851BA5A" w:rsidR="0070761E" w:rsidRDefault="0070761E">
            <w:pPr>
              <w:snapToGrid w:val="0"/>
              <w:spacing w:after="200"/>
            </w:pPr>
            <w:r>
              <w:t>Low</w:t>
            </w:r>
          </w:p>
        </w:tc>
        <w:tc>
          <w:tcPr>
            <w:tcW w:w="3828" w:type="dxa"/>
          </w:tcPr>
          <w:p w14:paraId="391AB728" w14:textId="5B83FC31" w:rsidR="0070761E" w:rsidRDefault="0070761E">
            <w:pPr>
              <w:snapToGrid w:val="0"/>
              <w:spacing w:after="200"/>
            </w:pPr>
            <w:r>
              <w:t>No fundamental changes identified</w:t>
            </w:r>
          </w:p>
        </w:tc>
      </w:tr>
    </w:tbl>
    <w:p w14:paraId="50D36B8D" w14:textId="77777777" w:rsidR="0070761E" w:rsidRDefault="0070761E">
      <w:pPr>
        <w:snapToGrid w:val="0"/>
        <w:spacing w:after="200"/>
      </w:pPr>
    </w:p>
    <w:p w14:paraId="6259CC5E" w14:textId="148EFF2B" w:rsidR="00B424EA" w:rsidRDefault="00B424EA">
      <w:pPr>
        <w:snapToGrid w:val="0"/>
        <w:spacing w:before="140" w:after="60" w:line="245" w:lineRule="auto"/>
      </w:pPr>
    </w:p>
    <w:tbl>
      <w:tblPr>
        <w:tblW w:w="15250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15250"/>
      </w:tblGrid>
      <w:tr w:rsidR="00B424EA" w14:paraId="4C36C66F" w14:textId="77777777" w:rsidTr="007D15A3">
        <w:trPr>
          <w:cantSplit/>
          <w:trHeight w:val="754"/>
          <w:jc w:val="center"/>
        </w:trPr>
        <w:tc>
          <w:tcPr>
            <w:tcW w:w="15250" w:type="dxa"/>
            <w:shd w:val="clear" w:color="auto" w:fill="F6F3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E8F582F" w14:textId="630934C3" w:rsidR="00B424EA" w:rsidRDefault="009671BA">
            <w:pPr>
              <w:spacing w:after="0" w:line="254" w:lineRule="auto"/>
            </w:pPr>
            <w:r>
              <w:t xml:space="preserve">This document does not replace the </w:t>
            </w:r>
            <w:r w:rsidR="0037354A">
              <w:t>need to review the standard and conduct your own gap analysis against your management system. The purpose is just to give you an overview of the main changes.</w:t>
            </w:r>
          </w:p>
        </w:tc>
      </w:tr>
    </w:tbl>
    <w:p w14:paraId="67D6A32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34069A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7C16721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E736BA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0B3DBEF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126B2C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165CB4F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BC3BAD6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D0FB85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50CDCD1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83565CE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A35C45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3C77E6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B30E60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C22D12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5EB7BF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C219C4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495399C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D78A79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FCCEAA1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05D39CF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E28CEC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5D737D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D49DDD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A932A2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65AE2A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A46E37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47A7BF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BFB1592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A191CF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CBEC38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58CC76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D59A2E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0E5CDA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ECB871C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68AB5BD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0C078C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69D081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A59ED8E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1B7B9FE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08E7CC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C4248E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51E3FF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54956E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9477E7D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C816DA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BAF762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BAEE5A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9E24B82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F971262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19A625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0F46F6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469789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803BB6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1877A7E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46BF06F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8E2355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AD819B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C61229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875CFE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43726F2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AFCCAFF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6895371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C5A8E1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0DA68E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AF0FC5D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622485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04A40E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6E86DC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8CE0FD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FFA219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A78C76E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67F4BB7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947B0CE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8D4BD1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4707969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178DEA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4C2590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C77185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BE6B9C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083D11A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6C02256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37BB6B7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D8D5BC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7675DD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153A002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38C588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BBEA9E2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09F4F1F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6BBE97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9A4DB37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F6A42F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7DA5EC77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032668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CD313F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0DB438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FC5A60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E953615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E78CAB7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B4522F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41D1C422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275F143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0D8C4C4B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6D0BD7E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6E2DAD0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271EB32F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213523C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1328D38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1B3CC09E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9B64771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5FE83914" w14:textId="77777777" w:rsidR="0037354A" w:rsidRDefault="0037354A" w:rsidP="0037354A">
      <w:pPr>
        <w:snapToGrid w:val="0"/>
        <w:spacing w:after="0" w:line="240" w:lineRule="auto"/>
        <w:rPr>
          <w:sz w:val="2"/>
        </w:rPr>
      </w:pPr>
    </w:p>
    <w:p w14:paraId="303E8C8E" w14:textId="40DFAC77" w:rsidR="00B424EA" w:rsidRDefault="009671BA" w:rsidP="0037354A">
      <w:pPr>
        <w:snapToGrid w:val="0"/>
        <w:spacing w:after="0" w:line="240" w:lineRule="auto"/>
      </w:pPr>
      <w:r>
        <w:rPr>
          <w:color w:val="626262"/>
          <w:sz w:val="17"/>
        </w:rPr>
        <w:t>OVERVIEW</w:t>
      </w:r>
    </w:p>
    <w:p w14:paraId="6AA2ED8A" w14:textId="122C3DB6" w:rsidR="00B424EA" w:rsidRDefault="0037354A">
      <w:pPr>
        <w:pStyle w:val="Heading1"/>
        <w:snapToGrid w:val="0"/>
      </w:pPr>
      <w:r>
        <w:t>1</w:t>
      </w:r>
      <w:r w:rsidR="009671BA">
        <w:t>. Main changes at a glance</w:t>
      </w:r>
    </w:p>
    <w:p w14:paraId="077FABB1" w14:textId="06B7748C" w:rsidR="00B424EA" w:rsidRDefault="009671BA">
      <w:pPr>
        <w:snapToGrid w:val="0"/>
        <w:spacing w:after="160"/>
      </w:pPr>
      <w:r>
        <w:t xml:space="preserve">Use this overview to focus your review. </w:t>
      </w:r>
    </w:p>
    <w:tbl>
      <w:tblPr>
        <w:tblW w:w="15053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2351"/>
        <w:gridCol w:w="4365"/>
        <w:gridCol w:w="8337"/>
      </w:tblGrid>
      <w:tr w:rsidR="0037354A" w14:paraId="1C184E27" w14:textId="77777777" w:rsidTr="0037354A">
        <w:trPr>
          <w:cantSplit/>
          <w:tblHeader/>
          <w:jc w:val="center"/>
        </w:trPr>
        <w:tc>
          <w:tcPr>
            <w:tcW w:w="2351" w:type="dxa"/>
            <w:shd w:val="clear" w:color="auto" w:fill="92278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7EA4FA3" w14:textId="77777777" w:rsidR="0037354A" w:rsidRDefault="0037354A">
            <w:pPr>
              <w:spacing w:after="0" w:line="247" w:lineRule="auto"/>
            </w:pPr>
            <w:r>
              <w:rPr>
                <w:b/>
                <w:color w:val="FFFFFF"/>
                <w:sz w:val="20"/>
              </w:rPr>
              <w:t>Priority</w:t>
            </w:r>
          </w:p>
        </w:tc>
        <w:tc>
          <w:tcPr>
            <w:tcW w:w="4365" w:type="dxa"/>
            <w:shd w:val="clear" w:color="auto" w:fill="92278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2FDEBBF" w14:textId="77777777" w:rsidR="0037354A" w:rsidRDefault="0037354A">
            <w:pPr>
              <w:spacing w:after="0" w:line="247" w:lineRule="auto"/>
            </w:pPr>
            <w:r>
              <w:rPr>
                <w:b/>
                <w:color w:val="FFFFFF"/>
                <w:sz w:val="20"/>
              </w:rPr>
              <w:t>Main topic</w:t>
            </w:r>
          </w:p>
        </w:tc>
        <w:tc>
          <w:tcPr>
            <w:tcW w:w="8337" w:type="dxa"/>
            <w:shd w:val="clear" w:color="auto" w:fill="92278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249B575" w14:textId="77777777" w:rsidR="0037354A" w:rsidRDefault="0037354A">
            <w:pPr>
              <w:spacing w:after="0" w:line="247" w:lineRule="auto"/>
            </w:pPr>
            <w:r>
              <w:rPr>
                <w:b/>
                <w:color w:val="FFFFFF"/>
                <w:sz w:val="20"/>
              </w:rPr>
              <w:t>What this usually means for clients</w:t>
            </w:r>
          </w:p>
        </w:tc>
      </w:tr>
      <w:tr w:rsidR="0037354A" w14:paraId="3D7E73E8" w14:textId="77777777" w:rsidTr="0037354A">
        <w:trPr>
          <w:cantSplit/>
          <w:jc w:val="center"/>
        </w:trPr>
        <w:tc>
          <w:tcPr>
            <w:tcW w:w="2351" w:type="dxa"/>
            <w:shd w:val="clear" w:color="auto" w:fill="FDE9D9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B7ADEF2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High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3C7CD44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Interested-party requirements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31AA484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Show which relevant requirements are addressed through the QMS and how. Climate-change relevance is carried forward from the 2024 amendment.</w:t>
            </w:r>
          </w:p>
        </w:tc>
      </w:tr>
      <w:tr w:rsidR="0037354A" w14:paraId="480B3920" w14:textId="77777777" w:rsidTr="0037354A">
        <w:trPr>
          <w:cantSplit/>
          <w:jc w:val="center"/>
        </w:trPr>
        <w:tc>
          <w:tcPr>
            <w:tcW w:w="2351" w:type="dxa"/>
            <w:shd w:val="clear" w:color="auto" w:fill="FDE9D9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7315589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High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AAB42D5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Leadership, quality culture and ethical behaviour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72FCBF5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Check how leadership promotes the expected culture and behaviours, and how people working under the organisation’s control understand them.</w:t>
            </w:r>
          </w:p>
        </w:tc>
      </w:tr>
      <w:tr w:rsidR="0037354A" w14:paraId="40EA6DBC" w14:textId="77777777" w:rsidTr="0037354A">
        <w:trPr>
          <w:cantSplit/>
          <w:jc w:val="center"/>
        </w:trPr>
        <w:tc>
          <w:tcPr>
            <w:tcW w:w="2351" w:type="dxa"/>
            <w:shd w:val="clear" w:color="auto" w:fill="FDE9D9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19B640D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High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15A4859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Risks and opportunities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F966177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Give risks and opportunities distinct consideration, including analysis, evaluation, planned actions and evaluation of effectiveness.</w:t>
            </w:r>
          </w:p>
        </w:tc>
      </w:tr>
      <w:tr w:rsidR="0037354A" w14:paraId="1F2A5F82" w14:textId="77777777" w:rsidTr="0037354A">
        <w:trPr>
          <w:cantSplit/>
          <w:jc w:val="center"/>
        </w:trPr>
        <w:tc>
          <w:tcPr>
            <w:tcW w:w="2351" w:type="dxa"/>
            <w:shd w:val="clear" w:color="auto" w:fill="FDE9D9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C80977D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High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C40A093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Planning and evaluating changes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65D2583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Consider communication, information, monitoring, evaluation and review of results within existing change planning.</w:t>
            </w:r>
          </w:p>
        </w:tc>
      </w:tr>
      <w:tr w:rsidR="0037354A" w14:paraId="04AB186F" w14:textId="77777777" w:rsidTr="0037354A">
        <w:trPr>
          <w:cantSplit/>
          <w:jc w:val="center"/>
        </w:trPr>
        <w:tc>
          <w:tcPr>
            <w:tcW w:w="2351" w:type="dxa"/>
            <w:shd w:val="clear" w:color="auto" w:fill="FDE9D9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79EBDD7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High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FE5C31C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Management review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C7AF97E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Include changes in relevant interested-party needs and expectations; recognise the effectiveness of risk and opportunity actions separately.</w:t>
            </w:r>
          </w:p>
        </w:tc>
      </w:tr>
      <w:tr w:rsidR="0037354A" w14:paraId="3EF15E95" w14:textId="77777777" w:rsidTr="0037354A">
        <w:trPr>
          <w:cantSplit/>
          <w:jc w:val="center"/>
        </w:trPr>
        <w:tc>
          <w:tcPr>
            <w:tcW w:w="2351" w:type="dxa"/>
            <w:shd w:val="clear" w:color="auto" w:fill="FFF2C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2D4FF7D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Medium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05A3BD9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Knowledge, customer communication, design and providers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0B6BAB8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Check knowledge retention, application and sharing, and targeted updates to communications, outputs and external-provider interfaces.</w:t>
            </w:r>
          </w:p>
        </w:tc>
      </w:tr>
      <w:tr w:rsidR="0037354A" w14:paraId="55EC1AEA" w14:textId="77777777" w:rsidTr="0037354A">
        <w:trPr>
          <w:cantSplit/>
          <w:jc w:val="center"/>
        </w:trPr>
        <w:tc>
          <w:tcPr>
            <w:tcW w:w="2351" w:type="dxa"/>
            <w:shd w:val="clear" w:color="auto" w:fill="FFF2C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CC65CA9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Medium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0DD93C3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Performance evaluation and internal audit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F7A8DE8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Evaluate both risk and opportunity actions, and define objectives for each internal audit alongside its criteria and scope.</w:t>
            </w:r>
          </w:p>
        </w:tc>
      </w:tr>
      <w:tr w:rsidR="0037354A" w14:paraId="3D8C3EFB" w14:textId="77777777" w:rsidTr="0037354A">
        <w:trPr>
          <w:cantSplit/>
          <w:jc w:val="center"/>
        </w:trPr>
        <w:tc>
          <w:tcPr>
            <w:tcW w:w="2351" w:type="dxa"/>
            <w:shd w:val="clear" w:color="auto" w:fill="E2F0D9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DD16C81" w14:textId="77777777" w:rsidR="0037354A" w:rsidRDefault="0037354A">
            <w:pPr>
              <w:spacing w:after="0" w:line="247" w:lineRule="auto"/>
            </w:pPr>
            <w:r>
              <w:rPr>
                <w:b/>
                <w:sz w:val="20"/>
              </w:rPr>
              <w:t>Low</w:t>
            </w:r>
          </w:p>
        </w:tc>
        <w:tc>
          <w:tcPr>
            <w:tcW w:w="4365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63C877A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Retained controls, documentation and improvement structure</w:t>
            </w:r>
          </w:p>
        </w:tc>
        <w:tc>
          <w:tcPr>
            <w:tcW w:w="8337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B261B67" w14:textId="77777777" w:rsidR="0037354A" w:rsidRDefault="0037354A">
            <w:pPr>
              <w:spacing w:after="0" w:line="247" w:lineRule="auto"/>
            </w:pPr>
            <w:r>
              <w:rPr>
                <w:sz w:val="20"/>
              </w:rPr>
              <w:t>Verify scope, processes, policy, objectives and delivery controls remain effective. Keep necessary evidence and update obsolete references where useful.</w:t>
            </w:r>
          </w:p>
        </w:tc>
      </w:tr>
    </w:tbl>
    <w:p w14:paraId="4858E558" w14:textId="77777777" w:rsidR="00B424EA" w:rsidRDefault="009671BA">
      <w:pPr>
        <w:snapToGrid w:val="0"/>
        <w:spacing w:before="140" w:after="60" w:line="245" w:lineRule="auto"/>
      </w:pPr>
      <w:r>
        <w:rPr>
          <w:color w:val="626262"/>
          <w:sz w:val="18"/>
        </w:rPr>
        <w:t>The 2026 revision builds on the existing QMS framework. This tool is a summary of changes and review prompts, not a complete conformity checklist for every requirement.</w:t>
      </w:r>
    </w:p>
    <w:p w14:paraId="69AB83C6" w14:textId="77777777" w:rsidR="0037354A" w:rsidRDefault="0037354A">
      <w:pPr>
        <w:pStyle w:val="Heading2"/>
        <w:snapToGrid w:val="0"/>
      </w:pPr>
    </w:p>
    <w:p w14:paraId="2D3C6C0F" w14:textId="1DCF3428" w:rsidR="00B424EA" w:rsidRDefault="009671BA" w:rsidP="007D15A3">
      <w:pPr>
        <w:snapToGrid w:val="0"/>
        <w:spacing w:after="0" w:line="240" w:lineRule="auto"/>
      </w:pPr>
      <w:r>
        <w:rPr>
          <w:sz w:val="2"/>
        </w:rPr>
        <w:br w:type="page"/>
      </w:r>
    </w:p>
    <w:p w14:paraId="020A391F" w14:textId="4A0430C1" w:rsidR="00B424EA" w:rsidRDefault="0037354A">
      <w:pPr>
        <w:pStyle w:val="Heading1"/>
        <w:snapToGrid w:val="0"/>
      </w:pPr>
      <w:r>
        <w:lastRenderedPageBreak/>
        <w:t xml:space="preserve">2. </w:t>
      </w:r>
      <w:r w:rsidR="009671BA">
        <w:t xml:space="preserve"> Clause-by-clause summary</w:t>
      </w:r>
    </w:p>
    <w:p w14:paraId="5D3DFA2E" w14:textId="77777777" w:rsidR="00B424EA" w:rsidRDefault="009671BA">
      <w:pPr>
        <w:snapToGrid w:val="0"/>
      </w:pPr>
      <w:r>
        <w:rPr>
          <w:b/>
          <w:color w:val="92278F"/>
          <w:sz w:val="22"/>
        </w:rPr>
        <w:t>Clauses 1 to 5: foundation, context and leadership</w:t>
      </w:r>
    </w:p>
    <w:p w14:paraId="2DB39F17" w14:textId="77777777" w:rsidR="00B424EA" w:rsidRDefault="009671BA">
      <w:pPr>
        <w:snapToGrid w:val="0"/>
        <w:spacing w:after="120"/>
      </w:pPr>
      <w:r>
        <w:rPr>
          <w:color w:val="626262"/>
          <w:sz w:val="18"/>
        </w:rPr>
        <w:t>Baseline: ISO 9001:2015 including Amendment 1:2024. Read alongside the full standard. Priorities are suggested review priorities, not a grading of requirements.</w:t>
      </w:r>
    </w:p>
    <w:tbl>
      <w:tblPr>
        <w:tblW w:w="15250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304"/>
        <w:gridCol w:w="2948"/>
        <w:gridCol w:w="8107"/>
        <w:gridCol w:w="1587"/>
      </w:tblGrid>
      <w:tr w:rsidR="00B424EA" w14:paraId="03B21128" w14:textId="77777777">
        <w:trPr>
          <w:cantSplit/>
          <w:tblHeader/>
          <w:jc w:val="center"/>
        </w:trPr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EEB00CF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2015 clause</w:t>
            </w:r>
          </w:p>
        </w:tc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8ADBAA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2026 clause</w:t>
            </w:r>
          </w:p>
        </w:tc>
        <w:tc>
          <w:tcPr>
            <w:tcW w:w="2948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219FA21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w="810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9D70B9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Client-friendly summary of change</w:t>
            </w:r>
          </w:p>
        </w:tc>
        <w:tc>
          <w:tcPr>
            <w:tcW w:w="158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FA2D8B" w14:textId="727BCB4B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 xml:space="preserve">Priority </w:t>
            </w:r>
          </w:p>
        </w:tc>
      </w:tr>
      <w:tr w:rsidR="00B424EA" w14:paraId="0177F3E2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148CEF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138FD1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2519AD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Scope of the standard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FAE1B3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Generic QMS requirements continue to focus on consistent conformity and enhanced customer satisfaction.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558245D" w14:textId="76909F8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1FB4E570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1D3CE6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5A1890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112A77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Normative reference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3B0270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Updated reference presentation. ISO 9000 remains the source of quality-management fundamentals and vocabulary; the reference is undated.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7D4F481" w14:textId="6847647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4CC1D2A4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9D2B4B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36C48D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C344BE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Terms and definitions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D4FF1C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 terminology section. Core management-system terms are included in the standard; ISO 9000 remains relevant. No requirement to rename your own documents.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EFAF626" w14:textId="118057E5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7D6F79F0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2BAB85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4.1 + Amd 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03DD3F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EFA859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Context and climate change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BE32B1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2024 carry-forward. Determine climate-change relevance and keep context under review. Refreshed examples in notes do not add a prescribed assessment method.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4FA327B" w14:textId="72E82F41" w:rsidR="00B424EA" w:rsidRDefault="0037354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60073DFE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8A5E38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4.2 + Amd 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F17595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DCB0C2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Interested-party requirements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19E6B8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Expanded. Determine which relevant requirements will be addressed through the QMS. The climate-related note is retained from 2024.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58F9300" w14:textId="06E42F05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</w:p>
        </w:tc>
      </w:tr>
      <w:tr w:rsidR="00B424EA" w14:paraId="74F3840E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0E21A2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D12450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0EFD95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QMS scope and applicability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C72B63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Scope, product/service coverage and justified non-applicability remain; the documented scope requirement is rearranged.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7C5A90E" w14:textId="502C4C8C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0E8720BD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D1E049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4.4.1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3A330A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4.4.1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68D828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Processes and interactions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DD5606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Integrate revised planning requirements into existing processes. Numbered list items are rearranged, not a new process model.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DE0A782" w14:textId="2ACAE1B4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7E886D73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0FFA57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4.4.2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A7B7F8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4.4.2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ED91C6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Process information and evidence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A23E05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Clarified. Necessary information supports operation and provides evidence of planned implementation. Retention of required evidence continues.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D61DDD8" w14:textId="2F79D27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3068C766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2DBC7A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5.1.1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486C9F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5.1.1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1FE544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Leadership and commitment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4F4224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Expanded. Promote quality culture, ethical behaviour and opportunity-based thinking; support other relevant roles. Other duties continue.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4D4BD23" w14:textId="231490ED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</w:p>
        </w:tc>
      </w:tr>
      <w:tr w:rsidR="00B424EA" w14:paraId="16F6AEF2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EB66C2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5.1.2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7609ED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5.1.2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0BA633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Customer focus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97C149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Leadership continues to ensure requirements are met and conformity-related risks and opportunities are addressed.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82D8FE9" w14:textId="4E23E3EE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332E21BF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0A2307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5.2.1–5.2.2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92A01B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5.2.1–5.2.2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B8FF9E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Quality policy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D7316D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Clarified. Establishment and communication provisions remain, with implementation, understanding and application explicit.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3411778" w14:textId="24F5CD1E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1477D4D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BD17D5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EC2747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5.3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4FA7E0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Responsibilities and authorities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8C19E0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Clarified. Responsibilities continue for conformity, performance, customer focus, improvement and system integrity, including through change.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6D7161A" w14:textId="3561B5B9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</w:t>
            </w:r>
            <w:r w:rsidR="0037354A">
              <w:rPr>
                <w:b/>
                <w:sz w:val="18"/>
              </w:rPr>
              <w:t>w</w:t>
            </w:r>
          </w:p>
        </w:tc>
      </w:tr>
    </w:tbl>
    <w:p w14:paraId="542C0295" w14:textId="77777777" w:rsidR="00B424EA" w:rsidRDefault="009671BA">
      <w:pPr>
        <w:snapToGrid w:val="0"/>
        <w:spacing w:after="0" w:line="240" w:lineRule="auto"/>
      </w:pPr>
      <w:r>
        <w:rPr>
          <w:sz w:val="2"/>
        </w:rPr>
        <w:br w:type="page"/>
      </w:r>
    </w:p>
    <w:p w14:paraId="376BF1DC" w14:textId="77777777" w:rsidR="00B424EA" w:rsidRDefault="009671BA">
      <w:pPr>
        <w:keepNext/>
        <w:snapToGrid w:val="0"/>
      </w:pPr>
      <w:r>
        <w:rPr>
          <w:color w:val="626262"/>
          <w:sz w:val="17"/>
        </w:rPr>
        <w:lastRenderedPageBreak/>
        <w:t>REFERENCE AID  |  APPENDIX A, PART 2 OF 5</w:t>
      </w:r>
    </w:p>
    <w:p w14:paraId="4A266029" w14:textId="77777777" w:rsidR="00B424EA" w:rsidRDefault="009671BA">
      <w:pPr>
        <w:snapToGrid w:val="0"/>
      </w:pPr>
      <w:r>
        <w:rPr>
          <w:b/>
          <w:color w:val="92278F"/>
          <w:sz w:val="22"/>
        </w:rPr>
        <w:t>Clauses 6 and 7.1: planning and resources</w:t>
      </w:r>
    </w:p>
    <w:p w14:paraId="3D43DE36" w14:textId="77777777" w:rsidR="00B424EA" w:rsidRDefault="009671BA">
      <w:pPr>
        <w:snapToGrid w:val="0"/>
        <w:spacing w:after="120"/>
      </w:pPr>
      <w:r>
        <w:rPr>
          <w:color w:val="626262"/>
          <w:sz w:val="18"/>
        </w:rPr>
        <w:t>Baseline: ISO 9001:2015 including Amendment 1:2024. Read alongside the full standard. Priorities are suggested review priorities, not a grading of requirements.</w:t>
      </w:r>
    </w:p>
    <w:tbl>
      <w:tblPr>
        <w:tblW w:w="15250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304"/>
        <w:gridCol w:w="2948"/>
        <w:gridCol w:w="8107"/>
        <w:gridCol w:w="1587"/>
      </w:tblGrid>
      <w:tr w:rsidR="00B424EA" w14:paraId="7D1FE7ED" w14:textId="77777777">
        <w:trPr>
          <w:cantSplit/>
          <w:tblHeader/>
          <w:jc w:val="center"/>
        </w:trPr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B084DF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2015 clause</w:t>
            </w:r>
          </w:p>
        </w:tc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E6553F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2026 clause</w:t>
            </w:r>
          </w:p>
        </w:tc>
        <w:tc>
          <w:tcPr>
            <w:tcW w:w="2948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C614400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w="810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7AA658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Client-friendly summary of change</w:t>
            </w:r>
          </w:p>
        </w:tc>
        <w:tc>
          <w:tcPr>
            <w:tcW w:w="158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4C387C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Priority / sheet</w:t>
            </w:r>
          </w:p>
        </w:tc>
      </w:tr>
      <w:tr w:rsidR="00B424EA" w14:paraId="7AD4BFE5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C116B1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6.1.1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346B5F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6.1.1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ABF7F5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Determining risks and opportunities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F846EA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 framework. Context and interested-party requirements inform what needs to be addressed; action requirements are now separated below.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6955B1A" w14:textId="43AA1C80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</w:p>
        </w:tc>
      </w:tr>
      <w:tr w:rsidR="00B424EA" w14:paraId="27D7EE54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ED2B10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6.1.1–6.1.2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3DDFE5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6.1.2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672E3D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Actions addressing risks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09B643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Expanded. Explicitly determine, analyse and evaluate relevant risks; plan proportionate actions, implement them and evaluate effectiveness.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460FD08" w14:textId="3FBC92A4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</w:p>
        </w:tc>
      </w:tr>
      <w:tr w:rsidR="00B424EA" w14:paraId="3D10527F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1DEDED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6.1.1–6.1.2 (part)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E188FA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6.1.3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F4C3C4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Actions addressing opportunities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AB07F2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Expanded; new separate subclause. Analyse and evaluate opportunities, plan suitable actions and check their effectiveness. Opportunities were already required in 2015.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00BBAF6" w14:textId="494FB626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</w:p>
        </w:tc>
      </w:tr>
      <w:tr w:rsidR="00B424EA" w14:paraId="407B51B9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639B7E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6.2.1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F5072E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6.2.1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C55EAC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Quality objectives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71CB7B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Measurability, monitoring, communication, documented information and relevance to conformity and customer satisfaction continue. List order changes.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3C10F79" w14:textId="15BC243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566F5E3D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5FB0BF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6.2.2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B06A97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6.2.2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9A036E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Plans to achieve objectives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2676C1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Actions, resources, responsibility, timing and evaluation of results remain. Review suitability after other transition changes.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4A9F02B" w14:textId="1FA06CEB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38440E50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97F21F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D47492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6.3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2CEA5D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Planning of changes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CBC7A4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Expanded. Consider information, communication, monitoring/evaluation of effectiveness and review of results, alongside existing planning factors.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5ABBB7A" w14:textId="4520C13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</w:p>
        </w:tc>
      </w:tr>
      <w:tr w:rsidR="00B424EA" w14:paraId="4BADA7D8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5E5E87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014933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060B1B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Resources: general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88DD82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Determine and provide necessary resources, considering internal capability/constraints and external provision.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4AA1327" w14:textId="0075E659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642F3806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00CD9C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80C0FC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1C6D0C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People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3449A6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Provide the people needed for effective QMS implementation and process operation/control.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9E3D354" w14:textId="421ED85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3B757FE9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285175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6DD6AA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75160C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Infrastructure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7FAE0E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Requirement retained; note refreshed. Infrastructure examples recognise on-site, remote and combined work.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E91D3C1" w14:textId="6AD2459E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1116D33B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5B8DD9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7.1.4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019E2C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7.1.4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C1E3FA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Process working environment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F7D464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Requirement retained; note refreshed. The influence of quality culture and ethical behaviour is explained.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3FD223A" w14:textId="139F0C51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12F88E8D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3B22ED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7.1.5.1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5BBAE9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7.1.5.1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C26CC4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Monitoring/measuring resources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77864D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Fitness for purpose and evidence remain. Continue to ensure monitoring and measurement provide valid, reliable results.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0C14ECC" w14:textId="37B4D127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7471AA2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48171A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7.1.5.2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4F2862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7.1.5.2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7122E6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Traceability of measurement results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F8C3A1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 title and wording. Calibration/verification, status identification, protection and response to unfit equipment remain, where applicable.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19DF94D" w14:textId="261274AF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6E4E4B92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798A5C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7.1.6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61DA66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7.1.6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A84A93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Organisational knowledge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E5C4B8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More explicit. Retain, apply and share necessary knowledge to support QMS intended results; address changing knowledge needs.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5C9EB22" w14:textId="319D0A2D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</w:p>
        </w:tc>
      </w:tr>
    </w:tbl>
    <w:p w14:paraId="4CB6002C" w14:textId="77777777" w:rsidR="00B424EA" w:rsidRDefault="009671BA">
      <w:pPr>
        <w:snapToGrid w:val="0"/>
        <w:spacing w:after="0" w:line="240" w:lineRule="auto"/>
      </w:pPr>
      <w:r>
        <w:rPr>
          <w:sz w:val="2"/>
        </w:rPr>
        <w:br w:type="page"/>
      </w:r>
    </w:p>
    <w:p w14:paraId="7D31739E" w14:textId="77777777" w:rsidR="00B424EA" w:rsidRDefault="009671BA">
      <w:pPr>
        <w:keepNext/>
        <w:snapToGrid w:val="0"/>
      </w:pPr>
      <w:r>
        <w:rPr>
          <w:color w:val="626262"/>
          <w:sz w:val="17"/>
        </w:rPr>
        <w:lastRenderedPageBreak/>
        <w:t>REFERENCE AID  |  APPENDIX A, PART 3 OF 5</w:t>
      </w:r>
    </w:p>
    <w:p w14:paraId="04B6A012" w14:textId="77777777" w:rsidR="00B424EA" w:rsidRDefault="009671BA">
      <w:pPr>
        <w:snapToGrid w:val="0"/>
      </w:pPr>
      <w:r>
        <w:rPr>
          <w:b/>
          <w:color w:val="92278F"/>
          <w:sz w:val="22"/>
        </w:rPr>
        <w:t>Clauses 7.2 to 8.3: support, customer requirements and design</w:t>
      </w:r>
    </w:p>
    <w:p w14:paraId="6D279167" w14:textId="77777777" w:rsidR="00B424EA" w:rsidRDefault="009671BA">
      <w:pPr>
        <w:snapToGrid w:val="0"/>
        <w:spacing w:after="120"/>
      </w:pPr>
      <w:r>
        <w:rPr>
          <w:color w:val="626262"/>
          <w:sz w:val="18"/>
        </w:rPr>
        <w:t>Baseline: ISO 9001:2015 including Amendment 1:2024. Read alongside the full standard. Priorities are suggested review priorities, not a grading of requirements.</w:t>
      </w:r>
    </w:p>
    <w:tbl>
      <w:tblPr>
        <w:tblW w:w="15250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304"/>
        <w:gridCol w:w="2948"/>
        <w:gridCol w:w="8107"/>
        <w:gridCol w:w="1587"/>
      </w:tblGrid>
      <w:tr w:rsidR="00B424EA" w14:paraId="633D04B8" w14:textId="77777777">
        <w:trPr>
          <w:cantSplit/>
          <w:tblHeader/>
          <w:jc w:val="center"/>
        </w:trPr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020578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2015 clause</w:t>
            </w:r>
          </w:p>
        </w:tc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98998C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2026 clause</w:t>
            </w:r>
          </w:p>
        </w:tc>
        <w:tc>
          <w:tcPr>
            <w:tcW w:w="2948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47583D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w="810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31107D6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Client-friendly summary of change</w:t>
            </w:r>
          </w:p>
        </w:tc>
        <w:tc>
          <w:tcPr>
            <w:tcW w:w="158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F6650F8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Priority / sheet</w:t>
            </w:r>
          </w:p>
        </w:tc>
      </w:tr>
      <w:tr w:rsidR="00B424EA" w14:paraId="20F94C20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6EB03C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0FBAEB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26ABE1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Competence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40BF5F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Core requirements retained. Necessary competence, appropriate action, effectiveness evaluation and documented evidence continue.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9E8BF21" w14:textId="3A3D9A61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1B0A5758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6EA3A2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2C4909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9EB450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Awareness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1C3C70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Expanded. Add awareness of the organisation’s quality culture and ethical behaviour for people working under its control.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EB82FB1" w14:textId="59C367BB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</w:p>
        </w:tc>
      </w:tr>
      <w:tr w:rsidR="00B424EA" w14:paraId="769FADDC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6C58DB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7.4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3DB12B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7.4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669603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Communication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39D6CE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Determine relevant internal/external communications, including subject, timing, audience, method and responsibility.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968DAD3" w14:textId="7BA3D89A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20ADACDF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6DDCFA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7.5.1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6730CF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7.5.1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6C4F90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Documented information: general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D93771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Keep information required by the standard and by the organisation for QMS effectiveness.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D4B66A6" w14:textId="05D2745D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</w:t>
            </w:r>
            <w:r w:rsidR="0037354A">
              <w:rPr>
                <w:b/>
                <w:sz w:val="18"/>
              </w:rPr>
              <w:t>ow</w:t>
            </w:r>
          </w:p>
        </w:tc>
      </w:tr>
      <w:tr w:rsidR="00B424EA" w14:paraId="05216BA4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1CDB43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7.5.2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B8672B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7.5.2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FEC028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Creating/updating information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C295D9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Identification, format/media and review/approval continue; title is expanded.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9F84951" w14:textId="206AA509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1415A272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E2B236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7.5.3.1–7.5.3.2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7FB1D4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7.5.3.1–7.5.3.2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79F49C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Information controls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4DDD2A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Availability, protection, access, changes, retention and external-document controls remain; evidence wording is harmonised.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CE6FA1B" w14:textId="5AADC37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56BCD5A2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D05B19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E7A3D2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288D87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Operational planning and control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6E4F1D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Clarified. Process/acceptance criteria are listed separately and external-provision wording aligns with 8.4. Core operational controls continue.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81FCB08" w14:textId="61640062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</w:p>
        </w:tc>
      </w:tr>
      <w:tr w:rsidR="00B424EA" w14:paraId="0EBC324A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55C9EF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D4C226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CD0C91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Customer communication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0BF8B5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Targeted update. Communication expressly includes relevant contingency actions and disruption to product/service provision.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F51587B" w14:textId="30631A14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</w:p>
        </w:tc>
      </w:tr>
      <w:tr w:rsidR="00B424EA" w14:paraId="04D997FD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4E1FEE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CFD8CD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611A7B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Determining requirements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E5B0DF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Define requirements and ensure the organisation can meet its claims for products/services.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63470D5" w14:textId="49BB2E2A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</w:t>
            </w:r>
            <w:r w:rsidR="0037354A">
              <w:rPr>
                <w:b/>
                <w:sz w:val="18"/>
              </w:rPr>
              <w:t>w</w:t>
            </w:r>
          </w:p>
        </w:tc>
      </w:tr>
      <w:tr w:rsidR="00B424EA" w14:paraId="7001426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AA87B0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8.2.3.1–8.2.3.2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C83DB1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8.2.3.1–8.2.3.2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979A3C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Reviewing commitments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A8CE4A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Core controls retained. Review before commitment; evidence wording expressly includes new or changed requirements.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A2BDE70" w14:textId="76960107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7FAA910A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B5C7F5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8.2.4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68D3ED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8.2.4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3B06DB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Changed requirements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26CB98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 communication wording. Update relevant documented information and communicate it to relevant interested parties.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016398C" w14:textId="55137A87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</w:p>
        </w:tc>
      </w:tr>
      <w:tr w:rsidR="00B424EA" w14:paraId="5BD94DA5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D8B1D0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8.3.1–8.3.2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CE55AB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8.3.1–8.3.2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5D577F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Design process and planning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968312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Core requirements retained; note added. Iterative design is recognised, while suitable stages, interfaces, involvement and controls remain necessary.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D32404C" w14:textId="1873EA9B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6D05D5EE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A8488F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8.3.3–8.3.4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9870CE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8.3.3–8.3.4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D07A57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Design inputs and controls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964412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Core requirements retained. A note recognises evolving inputs; adequate inputs, conflict resolution, review, verification and validation still apply.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624CE2A" w14:textId="2756FD5A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</w:p>
        </w:tc>
      </w:tr>
      <w:tr w:rsidR="00B424EA" w14:paraId="22773FD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3ECFFE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8.3.5–8.3.6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621FEE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8.3.5–8.3.6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13C064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Design outputs and changes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6C8E9D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Targeted output update. Essential product/service information is explicit. Design-change controls and supporting evidence continue.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4C0C5F5" w14:textId="36CA3853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</w:p>
        </w:tc>
      </w:tr>
    </w:tbl>
    <w:p w14:paraId="53D7F97C" w14:textId="77777777" w:rsidR="00B424EA" w:rsidRDefault="009671BA">
      <w:pPr>
        <w:snapToGrid w:val="0"/>
        <w:spacing w:after="0" w:line="240" w:lineRule="auto"/>
      </w:pPr>
      <w:r>
        <w:rPr>
          <w:sz w:val="2"/>
        </w:rPr>
        <w:br w:type="page"/>
      </w:r>
    </w:p>
    <w:p w14:paraId="1F8AEB9B" w14:textId="77777777" w:rsidR="00B424EA" w:rsidRDefault="009671BA">
      <w:pPr>
        <w:keepNext/>
        <w:snapToGrid w:val="0"/>
      </w:pPr>
      <w:r>
        <w:rPr>
          <w:color w:val="626262"/>
          <w:sz w:val="17"/>
        </w:rPr>
        <w:lastRenderedPageBreak/>
        <w:t>REFERENCE AID  |  APPENDIX A, PART 4 OF 5</w:t>
      </w:r>
    </w:p>
    <w:p w14:paraId="77D1ABD7" w14:textId="77777777" w:rsidR="00B424EA" w:rsidRDefault="009671BA">
      <w:pPr>
        <w:snapToGrid w:val="0"/>
      </w:pPr>
      <w:r>
        <w:rPr>
          <w:b/>
          <w:color w:val="92278F"/>
          <w:sz w:val="22"/>
        </w:rPr>
        <w:t>Clauses 8.4 to 8.7: external provision and controlled delivery</w:t>
      </w:r>
    </w:p>
    <w:p w14:paraId="41BA4BEB" w14:textId="77777777" w:rsidR="00B424EA" w:rsidRDefault="009671BA">
      <w:pPr>
        <w:snapToGrid w:val="0"/>
        <w:spacing w:after="120"/>
      </w:pPr>
      <w:r>
        <w:rPr>
          <w:color w:val="626262"/>
          <w:sz w:val="18"/>
        </w:rPr>
        <w:t>Baseline: ISO 9001:2015 including Amendment 1:2024. Read alongside the full standard. Priorities are suggested review priorities, not a grading of requirements.</w:t>
      </w:r>
    </w:p>
    <w:tbl>
      <w:tblPr>
        <w:tblW w:w="15250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304"/>
        <w:gridCol w:w="2948"/>
        <w:gridCol w:w="8107"/>
        <w:gridCol w:w="1587"/>
      </w:tblGrid>
      <w:tr w:rsidR="00B424EA" w14:paraId="0214EA65" w14:textId="77777777">
        <w:trPr>
          <w:cantSplit/>
          <w:tblHeader/>
          <w:jc w:val="center"/>
        </w:trPr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2FF571B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2015 clause</w:t>
            </w:r>
          </w:p>
        </w:tc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BD6D64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2026 clause</w:t>
            </w:r>
          </w:p>
        </w:tc>
        <w:tc>
          <w:tcPr>
            <w:tcW w:w="2948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61A7336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w="810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C2CF4F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Client-friendly summary of change</w:t>
            </w:r>
          </w:p>
        </w:tc>
        <w:tc>
          <w:tcPr>
            <w:tcW w:w="158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97EABA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Priority / sheet</w:t>
            </w:r>
          </w:p>
        </w:tc>
      </w:tr>
      <w:tr w:rsidR="00B424EA" w14:paraId="3E1B4A9C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770CBE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8.4.1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D4A508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8.4.1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6FF46A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External provision: general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A46035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Core requirements retained. Evaluate, select, monitor and re-evaluate providers; control provision according to its role in your products/services.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AFB849D" w14:textId="06DF9E66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19FFE6DA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80A18C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8.4.2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664E5B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8.4.2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7CDF83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Type and extent of control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3B7781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Core requirements retained. Apply suitable provider/output controls and verification, considering potential impact and provider controls.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0871A11" w14:textId="4BCC6527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31730AAF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948098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8.4.3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BA2025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8.4.3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1419BD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Provider information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D03D90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Targeted update. As appropriate, include interfaces with customers/other relevant parties and verification or validation at other locations.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7A9A030" w14:textId="7B51688C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  <w:r>
              <w:rPr>
                <w:b/>
                <w:sz w:val="18"/>
              </w:rPr>
              <w:br/>
            </w:r>
          </w:p>
        </w:tc>
      </w:tr>
      <w:tr w:rsidR="00B424EA" w14:paraId="6D22D8E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56DACB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B88042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C1543C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Controlled production/service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6D63F3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Clarified. Both availability and use of relevant documented information are explicit. Other controlled-condition requirements continue.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444594E" w14:textId="7D24CBD3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13F5BF80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CE71DE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972418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F492E4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Identification and traceability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580A62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Retained; rearranged into list items. Identification, status, required traceability and supporting evidence continue.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37393B1" w14:textId="07AC5F5B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6C102B0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5C04EF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DA14B4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FD24A9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Customer/provider property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1858F7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Protect relevant property, report loss/damage or unsuitability and keep evidence of what occurred.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BDD18DF" w14:textId="7AD2E9B7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528F928C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34EC4D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8.5.4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FE15EB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8.5.4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3FB75B0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Preservation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0DEA74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Preserve outputs as necessary to maintain conformity through production and service provision.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8C4D798" w14:textId="085D1283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518BC024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8F5E4C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8.5.5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C56203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8.5.5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F1F0F8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Post-delivery activities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5A4CD8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Determine and meet relevant post-delivery obligations, considering legal/customer requirements, consequences and feedback.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E6D48B9" w14:textId="759BD6F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1C7D6720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957043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8.5.6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A4A65D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8.5.6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33290B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Production/service changes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5E5EC7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Review and control changes and keep evidence of review results, authorisation and necessary actions.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0AD1EA4" w14:textId="7692EED0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54C5460F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1E9FF8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8.6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8FCD42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8.6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662DA0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Release of products/services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952B81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Verify requirements before release, subject to permitted approval arrangements; keep evidence of acceptance and authorisation.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56D7F9C" w14:textId="7DE0922D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4BC3A9B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F1D84B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8.7.1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A7A37F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8.7.1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DC157B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Nonconforming outputs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D4E092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Identify and control nonconforming outputs, take suitable action and verify conformity after correction.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5C1ED92" w14:textId="2B54C8DA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5F5BF242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C51D93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8.7.2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B07251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8.7.2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C26C4D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Nonconforming-output evidence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65A2BA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Retained; evidence wording harmonised. Keep evidence of the nonconformity, action, concessions and decision authority.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C4933FB" w14:textId="6EAA1A73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</w:tbl>
    <w:p w14:paraId="6569B227" w14:textId="77777777" w:rsidR="00B424EA" w:rsidRDefault="009671BA">
      <w:pPr>
        <w:snapToGrid w:val="0"/>
        <w:spacing w:after="0" w:line="240" w:lineRule="auto"/>
      </w:pPr>
      <w:r>
        <w:rPr>
          <w:sz w:val="2"/>
        </w:rPr>
        <w:br w:type="page"/>
      </w:r>
    </w:p>
    <w:p w14:paraId="22E47CC1" w14:textId="77777777" w:rsidR="00B424EA" w:rsidRDefault="009671BA">
      <w:pPr>
        <w:keepNext/>
        <w:snapToGrid w:val="0"/>
      </w:pPr>
      <w:r>
        <w:rPr>
          <w:color w:val="626262"/>
          <w:sz w:val="17"/>
        </w:rPr>
        <w:lastRenderedPageBreak/>
        <w:t>REFERENCE AID  |  APPENDIX A, PART 5 OF 5</w:t>
      </w:r>
    </w:p>
    <w:p w14:paraId="40BF06AA" w14:textId="77777777" w:rsidR="00B424EA" w:rsidRDefault="009671BA">
      <w:pPr>
        <w:snapToGrid w:val="0"/>
      </w:pPr>
      <w:r>
        <w:rPr>
          <w:b/>
          <w:color w:val="92278F"/>
          <w:sz w:val="22"/>
        </w:rPr>
        <w:t>Clauses 9 and 10, and informative annexes</w:t>
      </w:r>
    </w:p>
    <w:p w14:paraId="7B6F803F" w14:textId="77777777" w:rsidR="00B424EA" w:rsidRDefault="009671BA">
      <w:pPr>
        <w:snapToGrid w:val="0"/>
        <w:spacing w:after="120"/>
      </w:pPr>
      <w:r>
        <w:rPr>
          <w:color w:val="626262"/>
          <w:sz w:val="18"/>
        </w:rPr>
        <w:t>Baseline: ISO 9001:2015 including Amendment 1:2024. Read alongside the full standard. Priorities are suggested review priorities, not a grading of requirements.</w:t>
      </w:r>
    </w:p>
    <w:tbl>
      <w:tblPr>
        <w:tblW w:w="15250" w:type="dxa"/>
        <w:jc w:val="center"/>
        <w:tblBorders>
          <w:top w:val="single" w:sz="5" w:space="0" w:color="C8C2CC"/>
          <w:left w:val="single" w:sz="5" w:space="0" w:color="C8C2CC"/>
          <w:bottom w:val="single" w:sz="5" w:space="0" w:color="C8C2CC"/>
          <w:right w:val="single" w:sz="5" w:space="0" w:color="C8C2CC"/>
          <w:insideH w:val="single" w:sz="5" w:space="0" w:color="C8C2CC"/>
          <w:insideV w:val="single" w:sz="5" w:space="0" w:color="C8C2CC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304"/>
        <w:gridCol w:w="2948"/>
        <w:gridCol w:w="8107"/>
        <w:gridCol w:w="1587"/>
      </w:tblGrid>
      <w:tr w:rsidR="00B424EA" w14:paraId="717EB4C7" w14:textId="77777777">
        <w:trPr>
          <w:cantSplit/>
          <w:tblHeader/>
          <w:jc w:val="center"/>
        </w:trPr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97DE94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2015 clause</w:t>
            </w:r>
          </w:p>
        </w:tc>
        <w:tc>
          <w:tcPr>
            <w:tcW w:w="1304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42D0FA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2026 clause</w:t>
            </w:r>
          </w:p>
        </w:tc>
        <w:tc>
          <w:tcPr>
            <w:tcW w:w="2948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57A804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w="810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3D566D7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Client-friendly summary of change</w:t>
            </w:r>
          </w:p>
        </w:tc>
        <w:tc>
          <w:tcPr>
            <w:tcW w:w="1587" w:type="dxa"/>
            <w:shd w:val="clear" w:color="auto" w:fill="92278F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CD70F9C" w14:textId="77777777" w:rsidR="00B424EA" w:rsidRDefault="009671BA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Priority / sheet</w:t>
            </w:r>
          </w:p>
        </w:tc>
      </w:tr>
      <w:tr w:rsidR="00B424EA" w14:paraId="60BBF055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4EA1FB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9.1.1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4CF9F3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9.1.1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C1B3AB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Monitoring and measurement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BA7B05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Determine what, how and when to monitor/measure and evaluate; assess QMS performance/effectiveness and keep evidence.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B24757D" w14:textId="0EC5A404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38844636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4FFE85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9.1.2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881F87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9.1.2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D25243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Customer satisfaction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4EC883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Clarified. Wording is simplified and information-source examples are refreshed; suitable monitoring methods remain for the organisation to determine.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1334FAB" w14:textId="4F31F934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  <w:r>
              <w:rPr>
                <w:b/>
                <w:sz w:val="18"/>
              </w:rPr>
              <w:br/>
            </w:r>
          </w:p>
        </w:tc>
      </w:tr>
      <w:tr w:rsidR="00B424EA" w14:paraId="7F624051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5865F7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9.1.3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F08DD2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9.1.3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219E0B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Analysis and evaluation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5CF80E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Restructured. Risk-action effectiveness and opportunity-action effectiveness are listed separately; both were already part of evaluation.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4905038" w14:textId="4B32323B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  <w:r>
              <w:rPr>
                <w:b/>
                <w:sz w:val="18"/>
              </w:rPr>
              <w:br/>
            </w:r>
          </w:p>
        </w:tc>
      </w:tr>
      <w:tr w:rsidR="00B424EA" w14:paraId="14928FBA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74A6AA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9.2.1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CEB1D1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9.2.1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2C764F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Internal audit: general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678B2A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Audit at planned intervals for conformity and effective implementation/maintenance.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F6A1ACA" w14:textId="5FBDE250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051F83E0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5A08BF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9.2.2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B2661D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9.2.2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A8355A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Internal audit programme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B79F9D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Explicit addition. Define objectives for each audit alongside criteria and scope. Programme, impartiality, reporting, follow-up and evidence requirements continue.</w:t>
            </w:r>
          </w:p>
        </w:tc>
        <w:tc>
          <w:tcPr>
            <w:tcW w:w="1587" w:type="dxa"/>
            <w:shd w:val="clear" w:color="auto" w:fill="FFF2CC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17308A6" w14:textId="12A011F3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Medium</w:t>
            </w:r>
            <w:r>
              <w:rPr>
                <w:b/>
                <w:sz w:val="18"/>
              </w:rPr>
              <w:br/>
            </w:r>
          </w:p>
        </w:tc>
      </w:tr>
      <w:tr w:rsidR="00B424EA" w14:paraId="5C21AF75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512EB5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9.3.1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1DC111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9.3.1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288BC6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Management review: general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2B0B0D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Retained. Top management reviews continuing suitability, adequacy, effectiveness and strategic alignment.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F7CA70F" w14:textId="21DD468F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6484A888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355008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9.3.2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F014F5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9.3.2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04EC8A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Management review inputs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975748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Expanded. Include changes in relevant interested-party needs/expectations; review risk-action and opportunity-action effectiveness separately.</w:t>
            </w:r>
          </w:p>
        </w:tc>
        <w:tc>
          <w:tcPr>
            <w:tcW w:w="1587" w:type="dxa"/>
            <w:shd w:val="clear" w:color="auto" w:fill="FDE9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A045D87" w14:textId="40E8A707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High</w:t>
            </w:r>
            <w:r>
              <w:rPr>
                <w:b/>
                <w:sz w:val="18"/>
              </w:rPr>
              <w:br/>
            </w:r>
          </w:p>
        </w:tc>
      </w:tr>
      <w:tr w:rsidR="00B424EA" w14:paraId="7DC7E557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04254DA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9.3.3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BBE1B2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9.3.3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72510A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Management review results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3FC637C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Retained; renamed from outputs to results. Decisions on improvement, QMS change and resources and documented evidence remain.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48141D8" w14:textId="385C9188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00695666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8B62DB1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10.1 and 10.3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003DF82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10.1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FA2299D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Continual improvement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B23260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Restructured. General and continual-improvement content is combined. Address improvement opportunities, future needs and undesired effects.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E76D8D7" w14:textId="5247EE04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2A6ABD6A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6424338F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10.2.1–10.2.2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BDAF11B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10.2.1–10.2.2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960803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Corrective action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623649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Core requirements retained. Respond, evaluate causes/recurrence, act, check effectiveness and keep evidence. Complaints appear as an example in a note.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6D5FD7F" w14:textId="2C82E09A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3B621EB4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BF161E6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10.3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6459EF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No separate 10.3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7EFCDC8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Former continual-improvement clause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5B6550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Moved, not deleted as a requirement. Relevant content is now in 10.1. Update cross-references used in your own system where needed.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4EE82862" w14:textId="33EF42EC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5BA0679E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E40B6D5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Annex A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53B2E23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Annex A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09E4EB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Informative explanation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43DEB44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Expanded clarification of terminology, structure and intent. The annex adds no requirements and is not a mandatory implementation method.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7677590E" w14:textId="7CE71C71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  <w:tr w:rsidR="00B424EA" w14:paraId="0321A58B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33B40A37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Annex B</w:t>
            </w:r>
          </w:p>
        </w:tc>
        <w:tc>
          <w:tcPr>
            <w:tcW w:w="1304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CF8B673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No Annex B</w:t>
            </w:r>
          </w:p>
        </w:tc>
        <w:tc>
          <w:tcPr>
            <w:tcW w:w="2948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0C7C24C9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Other quality-management standards</w:t>
            </w:r>
          </w:p>
        </w:tc>
        <w:tc>
          <w:tcPr>
            <w:tcW w:w="8107" w:type="dxa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119BDFAE" w14:textId="77777777" w:rsidR="00B424EA" w:rsidRDefault="009671BA">
            <w:pPr>
              <w:spacing w:after="0" w:line="240" w:lineRule="auto"/>
            </w:pPr>
            <w:r>
              <w:rPr>
                <w:sz w:val="18"/>
              </w:rPr>
              <w:t>Removed as a separate annex. Related references now appear in Annex A and other ISO material; no new client implementation duty follows.</w:t>
            </w:r>
          </w:p>
        </w:tc>
        <w:tc>
          <w:tcPr>
            <w:tcW w:w="1587" w:type="dxa"/>
            <w:shd w:val="clear" w:color="auto" w:fill="E2F0D9"/>
            <w:tcMar>
              <w:top w:w="35" w:type="dxa"/>
              <w:left w:w="85" w:type="dxa"/>
              <w:bottom w:w="35" w:type="dxa"/>
              <w:right w:w="85" w:type="dxa"/>
            </w:tcMar>
          </w:tcPr>
          <w:p w14:paraId="23E0D394" w14:textId="79105B1F" w:rsidR="00B424EA" w:rsidRDefault="009671BA">
            <w:pPr>
              <w:spacing w:after="0" w:line="240" w:lineRule="auto"/>
            </w:pPr>
            <w:r>
              <w:rPr>
                <w:b/>
                <w:sz w:val="18"/>
              </w:rPr>
              <w:t>Low</w:t>
            </w:r>
            <w:r>
              <w:rPr>
                <w:b/>
                <w:sz w:val="18"/>
              </w:rPr>
              <w:br/>
            </w:r>
          </w:p>
        </w:tc>
      </w:tr>
    </w:tbl>
    <w:p w14:paraId="568C06CE" w14:textId="0128E6E2" w:rsidR="00B424EA" w:rsidRDefault="00B424EA" w:rsidP="0037354A">
      <w:pPr>
        <w:snapToGrid w:val="0"/>
        <w:spacing w:after="0" w:line="240" w:lineRule="auto"/>
      </w:pPr>
    </w:p>
    <w:sectPr w:rsidR="00B424EA" w:rsidSect="00034616">
      <w:headerReference w:type="default" r:id="rId8"/>
      <w:footerReference w:type="default" r:id="rId9"/>
      <w:pgSz w:w="16838" w:h="11906" w:orient="landscape"/>
      <w:pgMar w:top="1304" w:right="794" w:bottom="794" w:left="794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E3DD6" w14:textId="77777777" w:rsidR="004B3C2E" w:rsidRDefault="004B3C2E">
      <w:pPr>
        <w:spacing w:after="0" w:line="240" w:lineRule="auto"/>
      </w:pPr>
      <w:r>
        <w:separator/>
      </w:r>
    </w:p>
  </w:endnote>
  <w:endnote w:type="continuationSeparator" w:id="0">
    <w:p w14:paraId="533F86D3" w14:textId="77777777" w:rsidR="004B3C2E" w:rsidRDefault="004B3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2B3A1" w14:textId="77777777" w:rsidR="00B424EA" w:rsidRDefault="00B424EA">
    <w:pPr>
      <w:pStyle w:val="Footer"/>
      <w:spacing w:line="20" w:lineRule="exact"/>
    </w:pPr>
  </w:p>
  <w:tbl>
    <w:tblPr>
      <w:tblW w:w="1525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3039"/>
      <w:gridCol w:w="2211"/>
    </w:tblGrid>
    <w:tr w:rsidR="00B424EA" w14:paraId="44159011" w14:textId="77777777">
      <w:trPr>
        <w:cantSplit/>
        <w:jc w:val="center"/>
      </w:trPr>
      <w:tc>
        <w:tcPr>
          <w:tcW w:w="13039" w:type="dxa"/>
          <w:tcMar>
            <w:top w:w="0" w:type="dxa"/>
            <w:left w:w="0" w:type="dxa"/>
            <w:bottom w:w="0" w:type="dxa"/>
            <w:right w:w="0" w:type="dxa"/>
          </w:tcMar>
        </w:tcPr>
        <w:p w14:paraId="01C2278B" w14:textId="77777777" w:rsidR="00B424EA" w:rsidRDefault="009671BA">
          <w:pPr>
            <w:spacing w:after="0" w:line="247" w:lineRule="auto"/>
          </w:pPr>
          <w:r>
            <w:rPr>
              <w:color w:val="626262"/>
              <w:sz w:val="16"/>
            </w:rPr>
            <w:t>3core² Certification Ltd  |  Optional client tool  |  Version 1.0 · 25 September 2026</w:t>
          </w:r>
        </w:p>
      </w:tc>
      <w:tc>
        <w:tcPr>
          <w:tcW w:w="2211" w:type="dxa"/>
          <w:tcMar>
            <w:top w:w="0" w:type="dxa"/>
            <w:left w:w="0" w:type="dxa"/>
            <w:bottom w:w="0" w:type="dxa"/>
            <w:right w:w="0" w:type="dxa"/>
          </w:tcMar>
        </w:tcPr>
        <w:p w14:paraId="1073C33C" w14:textId="77777777" w:rsidR="00B424EA" w:rsidRDefault="009671BA">
          <w:pPr>
            <w:spacing w:after="0" w:line="247" w:lineRule="auto"/>
            <w:jc w:val="right"/>
          </w:pPr>
          <w:r>
            <w:rPr>
              <w:color w:val="626262"/>
              <w:sz w:val="16"/>
            </w:rPr>
            <w:t xml:space="preserve">Page </w:t>
          </w:r>
          <w:r>
            <w:rPr>
              <w:color w:val="626262"/>
              <w:sz w:val="16"/>
            </w:rPr>
            <w:fldChar w:fldCharType="begin"/>
          </w:r>
          <w:r>
            <w:rPr>
              <w:color w:val="626262"/>
              <w:sz w:val="16"/>
            </w:rPr>
            <w:instrText xml:space="preserve"> PAGE </w:instrText>
          </w:r>
          <w:r>
            <w:rPr>
              <w:color w:val="626262"/>
              <w:sz w:val="16"/>
            </w:rPr>
            <w:fldChar w:fldCharType="separate"/>
          </w:r>
          <w:r>
            <w:rPr>
              <w:color w:val="626262"/>
              <w:sz w:val="16"/>
            </w:rPr>
            <w:t>1</w:t>
          </w:r>
          <w:r>
            <w:rPr>
              <w:color w:val="626262"/>
              <w:sz w:val="16"/>
            </w:rPr>
            <w:fldChar w:fldCharType="end"/>
          </w:r>
          <w:r>
            <w:rPr>
              <w:color w:val="626262"/>
              <w:sz w:val="16"/>
            </w:rPr>
            <w:t xml:space="preserve"> of </w:t>
          </w:r>
          <w:r>
            <w:rPr>
              <w:color w:val="626262"/>
              <w:sz w:val="16"/>
            </w:rPr>
            <w:fldChar w:fldCharType="begin"/>
          </w:r>
          <w:r>
            <w:rPr>
              <w:color w:val="626262"/>
              <w:sz w:val="16"/>
            </w:rPr>
            <w:instrText xml:space="preserve"> NUMPAGES </w:instrText>
          </w:r>
          <w:r>
            <w:rPr>
              <w:color w:val="626262"/>
              <w:sz w:val="16"/>
            </w:rPr>
            <w:fldChar w:fldCharType="separate"/>
          </w:r>
          <w:r>
            <w:rPr>
              <w:color w:val="626262"/>
              <w:sz w:val="16"/>
            </w:rPr>
            <w:t>1</w:t>
          </w:r>
          <w:r>
            <w:rPr>
              <w:color w:val="626262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940BF" w14:textId="77777777" w:rsidR="004B3C2E" w:rsidRDefault="004B3C2E">
      <w:pPr>
        <w:spacing w:after="0" w:line="240" w:lineRule="auto"/>
      </w:pPr>
      <w:r>
        <w:separator/>
      </w:r>
    </w:p>
  </w:footnote>
  <w:footnote w:type="continuationSeparator" w:id="0">
    <w:p w14:paraId="2E0BC87C" w14:textId="77777777" w:rsidR="004B3C2E" w:rsidRDefault="004B3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7B654" w14:textId="77777777" w:rsidR="00B424EA" w:rsidRDefault="00B424EA">
    <w:pPr>
      <w:pStyle w:val="Header"/>
      <w:spacing w:line="20" w:lineRule="exact"/>
    </w:pPr>
  </w:p>
  <w:tbl>
    <w:tblPr>
      <w:tblW w:w="1525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4059"/>
      <w:gridCol w:w="1191"/>
    </w:tblGrid>
    <w:tr w:rsidR="00B424EA" w14:paraId="4C8EB55C" w14:textId="77777777">
      <w:trPr>
        <w:cantSplit/>
        <w:jc w:val="center"/>
      </w:trPr>
      <w:tc>
        <w:tcPr>
          <w:tcW w:w="1406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54AA044" w14:textId="77777777" w:rsidR="00B424EA" w:rsidRPr="007D15A3" w:rsidRDefault="009671BA">
          <w:pPr>
            <w:spacing w:after="0" w:line="247" w:lineRule="auto"/>
            <w:rPr>
              <w:lang w:val="fr-FR"/>
            </w:rPr>
          </w:pPr>
          <w:r w:rsidRPr="007D15A3">
            <w:rPr>
              <w:color w:val="626262"/>
              <w:sz w:val="16"/>
              <w:lang w:val="fr-FR"/>
            </w:rPr>
            <w:t>ISO 9001:2026  |  CLIENT GAP ANALYSIS &amp; IMPLEMENTATION PLANNER</w:t>
          </w:r>
        </w:p>
      </w:tc>
      <w:tc>
        <w:tcPr>
          <w:tcW w:w="11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AF322E7" w14:textId="77777777" w:rsidR="00B424EA" w:rsidRDefault="009671BA">
          <w:pPr>
            <w:jc w:val="right"/>
          </w:pPr>
          <w:r>
            <w:rPr>
              <w:noProof/>
            </w:rPr>
            <w:drawing>
              <wp:inline distT="0" distB="0" distL="0" distR="0" wp14:anchorId="2C33267D" wp14:editId="41586679">
                <wp:extent cx="460588" cy="540000"/>
                <wp:effectExtent l="0" t="0" r="0" b="0"/>
                <wp:docPr id="1" name="Picture 1" descr="3core2 Certification logo" title="3core2 Certifi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0588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2972306">
    <w:abstractNumId w:val="8"/>
  </w:num>
  <w:num w:numId="2" w16cid:durableId="501822929">
    <w:abstractNumId w:val="6"/>
  </w:num>
  <w:num w:numId="3" w16cid:durableId="501970610">
    <w:abstractNumId w:val="5"/>
  </w:num>
  <w:num w:numId="4" w16cid:durableId="174538417">
    <w:abstractNumId w:val="4"/>
  </w:num>
  <w:num w:numId="5" w16cid:durableId="1624574373">
    <w:abstractNumId w:val="7"/>
  </w:num>
  <w:num w:numId="6" w16cid:durableId="2028216445">
    <w:abstractNumId w:val="3"/>
  </w:num>
  <w:num w:numId="7" w16cid:durableId="1826967308">
    <w:abstractNumId w:val="2"/>
  </w:num>
  <w:num w:numId="8" w16cid:durableId="1432319549">
    <w:abstractNumId w:val="1"/>
  </w:num>
  <w:num w:numId="9" w16cid:durableId="93621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10F0"/>
    <w:rsid w:val="00326F90"/>
    <w:rsid w:val="0037354A"/>
    <w:rsid w:val="004B3C2E"/>
    <w:rsid w:val="006E3D3F"/>
    <w:rsid w:val="0070761E"/>
    <w:rsid w:val="007D15A3"/>
    <w:rsid w:val="009671BA"/>
    <w:rsid w:val="009D717B"/>
    <w:rsid w:val="00AA1D8D"/>
    <w:rsid w:val="00B424EA"/>
    <w:rsid w:val="00B47730"/>
    <w:rsid w:val="00CB0664"/>
    <w:rsid w:val="00F836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7042D1"/>
  <w14:defaultImageDpi w14:val="300"/>
  <w15:docId w15:val="{08683FEE-7ABF-45B5-88FD-F998C105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202020"/>
      <w:sz w:val="2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92278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92278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20"/>
      <w:outlineLvl w:val="2"/>
    </w:pPr>
    <w:rPr>
      <w:rFonts w:asciiTheme="majorHAnsi" w:eastAsiaTheme="majorEastAsia" w:hAnsiTheme="majorHAnsi" w:cstheme="majorBidi"/>
      <w:b/>
      <w:bCs/>
      <w:color w:val="92278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92278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5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2316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ISO 9001:2026 Client Gap Analysis and Implementation Planner</vt:lpstr>
    </vt:vector>
  </TitlesOfParts>
  <Manager/>
  <Company/>
  <LinksUpToDate>false</LinksUpToDate>
  <CharactersWithSpaces>15488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 9001:2026 Client Gap Analysis and Implementation Planner</dc:title>
  <dc:subject>Optional client transition planning tool</dc:subject>
  <dc:creator>3core2 Certification Ltd</dc:creator>
  <cp:keywords>ISO 9001:2026; gap analysis; transition; quality management; optional client tool</cp:keywords>
  <dc:description>Version 1.0 | 25 September 2026. General client guidance; not a substitute for the standard.</dc:description>
  <cp:lastModifiedBy>James Williams</cp:lastModifiedBy>
  <cp:revision>3</cp:revision>
  <dcterms:created xsi:type="dcterms:W3CDTF">2026-09-25T12:02:00Z</dcterms:created>
  <dcterms:modified xsi:type="dcterms:W3CDTF">2026-09-25T13:04:00Z</dcterms:modified>
  <cp:category/>
</cp:coreProperties>
</file>